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rFonts w:ascii="Liberation Serif" w:hAnsi="Liberation Serif" w:cs="Times New Roman"/>
          <w:b/>
          <w:bCs/>
          <w:sz w:val="28"/>
          <w:szCs w:val="28"/>
        </w:rPr>
      </w:pPr>
      <w:r>
        <w:rPr>
          <w:rFonts w:ascii="Liberation Serif" w:hAnsi="Liberation Serif" w:cs="Times New Roman"/>
          <w:b/>
          <w:sz w:val="28"/>
          <w:szCs w:val="28"/>
          <w:highlight w:val="none"/>
        </w:rPr>
      </w:r>
      <w:r>
        <w:rPr>
          <w:rFonts w:ascii="Liberation Serif" w:hAnsi="Liberation Serif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Times New Roman"/>
          <w:b/>
          <w:bCs/>
          <w:sz w:val="28"/>
          <w:szCs w:val="28"/>
          <w:highlight w:val="none"/>
        </w:rPr>
      </w:pPr>
      <w:r>
        <w:rPr>
          <w:rFonts w:ascii="Liberation Serif" w:hAnsi="Liberation Serif" w:cs="Times New Roman"/>
          <w:b/>
          <w:sz w:val="28"/>
          <w:szCs w:val="28"/>
          <w:highlight w:val="none"/>
        </w:rPr>
      </w:r>
      <w:r>
        <w:rPr>
          <w:rFonts w:ascii="Liberation Serif" w:hAnsi="Liberation Serif" w:cs="Times New Roman"/>
          <w:b/>
          <w:sz w:val="28"/>
          <w:szCs w:val="28"/>
          <w:highlight w:val="none"/>
        </w:rPr>
      </w:r>
    </w:p>
    <w:p>
      <w:pPr>
        <w:jc w:val="center"/>
        <w:rPr>
          <w:rFonts w:ascii="Liberation Serif" w:hAnsi="Liberation Serif" w:cs="Times New Roman"/>
          <w:b/>
          <w:bCs/>
          <w:sz w:val="28"/>
          <w:szCs w:val="28"/>
          <w:highlight w:val="none"/>
        </w:rPr>
      </w:pPr>
      <w:r>
        <w:rPr>
          <w:rFonts w:ascii="Liberation Serif" w:hAnsi="Liberation Serif" w:cs="Times New Roman"/>
          <w:b/>
          <w:sz w:val="28"/>
          <w:szCs w:val="28"/>
        </w:rPr>
        <w:t xml:space="preserve">Присвоение и подтверждение</w:t>
      </w:r>
      <w:r>
        <w:rPr>
          <w:rFonts w:ascii="Liberation Serif" w:hAnsi="Liberation Serif" w:cs="Times New Roman"/>
          <w:b/>
          <w:sz w:val="28"/>
          <w:szCs w:val="28"/>
        </w:rPr>
        <w:t xml:space="preserve"> спортивных разрядов</w:t>
      </w:r>
      <w:r/>
    </w:p>
    <w:p>
      <w:pPr>
        <w:jc w:val="center"/>
        <w:rPr>
          <w:rFonts w:ascii="Liberation Serif" w:hAnsi="Liberation Serif" w:cs="Times New Roman"/>
          <w:color w:val="000000" w:themeColor="text1"/>
          <w:sz w:val="24"/>
          <w:szCs w:val="24"/>
        </w:rPr>
      </w:pPr>
      <w:r>
        <w:rPr>
          <w:rFonts w:ascii="Liberation Serif" w:hAnsi="Liberation Serif" w:cs="Times New Roman"/>
          <w:color w:val="000000" w:themeColor="text1"/>
          <w:sz w:val="24"/>
          <w:szCs w:val="24"/>
        </w:rPr>
        <w:t xml:space="preserve">Методическая памятка в форме обобщенной таблицы в сравнении</w:t>
      </w:r>
      <w:r>
        <w:rPr>
          <w:color w:val="000000" w:themeColor="text1"/>
        </w:rPr>
      </w:r>
    </w:p>
    <w:tbl>
      <w:tblPr>
        <w:tblStyle w:val="602"/>
        <w:tblW w:w="0" w:type="auto"/>
        <w:tblLook w:val="04A0" w:firstRow="1" w:lastRow="0" w:firstColumn="1" w:lastColumn="0" w:noHBand="0" w:noVBand="1"/>
      </w:tblPr>
      <w:tblGrid>
        <w:gridCol w:w="2651"/>
        <w:gridCol w:w="1327"/>
        <w:gridCol w:w="1326"/>
        <w:gridCol w:w="2655"/>
        <w:gridCol w:w="2653"/>
        <w:gridCol w:w="269"/>
        <w:gridCol w:w="1058"/>
        <w:gridCol w:w="1327"/>
        <w:gridCol w:w="2654"/>
      </w:tblGrid>
      <w:tr>
        <w:trPr/>
        <w:tc>
          <w:tcPr>
            <w:gridSpan w:val="4"/>
            <w:tcBorders>
              <w:right w:val="single" w:color="000000" w:themeColor="text1" w:sz="24" w:space="0"/>
            </w:tcBorders>
            <w:tcW w:w="79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Присвоение спортивных разрядов</w:t>
            </w:r>
            <w:r/>
          </w:p>
        </w:tc>
        <w:tc>
          <w:tcPr>
            <w:gridSpan w:val="5"/>
            <w:tcBorders>
              <w:left w:val="single" w:color="000000" w:themeColor="text1" w:sz="24" w:space="0"/>
            </w:tcBorders>
            <w:tcW w:w="7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Подтверждение спортивных разрядов</w:t>
            </w:r>
            <w:r/>
          </w:p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</w:r>
            <w:r/>
          </w:p>
        </w:tc>
      </w:tr>
      <w:tr>
        <w:trPr/>
        <w:tc>
          <w:tcPr>
            <w:tcW w:w="2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КМС, «первый спортивный разряд»</w:t>
            </w:r>
            <w:r/>
          </w:p>
        </w:tc>
        <w:tc>
          <w:tcPr>
            <w:gridSpan w:val="2"/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«второй спортивный разряд», «третий спортивный разряд»</w:t>
            </w:r>
            <w:r/>
          </w:p>
        </w:tc>
        <w:tc>
          <w:tcPr>
            <w:tcBorders>
              <w:right w:val="single" w:color="000000" w:themeColor="text1" w:sz="24" w:space="0"/>
            </w:tcBorders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</w:r>
            <w:r/>
          </w:p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«первый юношеский спортивный разряд», «второй юношеский спортивный разряд», «третий юношеский спортивный разряд»</w:t>
            </w:r>
            <w:r/>
          </w:p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</w:r>
            <w:r/>
          </w:p>
        </w:tc>
        <w:tc>
          <w:tcPr>
            <w:tcBorders>
              <w:left w:val="single" w:color="000000" w:themeColor="text1" w:sz="2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КМС, «первый спортивный разряд»</w:t>
            </w:r>
            <w:r/>
          </w:p>
        </w:tc>
        <w:tc>
          <w:tcPr>
            <w:gridSpan w:val="3"/>
            <w:tcW w:w="2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«второй спортивный разряд», «третий спортивный разряд»</w:t>
            </w:r>
            <w:r/>
          </w:p>
        </w:tc>
        <w:tc>
          <w:tcPr>
            <w:tcW w:w="2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>
              <w:rPr>
                <w:rFonts w:ascii="Liberation Serif" w:hAnsi="Liberation Serif"/>
                <w:b/>
                <w:sz w:val="24"/>
                <w:szCs w:val="24"/>
              </w:rPr>
              <w:t xml:space="preserve">«первый юношеский спортивный разряд», «второй юношеский спортивный разряд», «третий юношеский спортивный разряд»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Срок присвоения</w:t>
            </w:r>
            <w:r>
              <w:rPr>
                <w:rFonts w:ascii="Liberation Serif" w:hAnsi="Liberation Serif"/>
                <w:b/>
              </w:rPr>
              <w:t xml:space="preserve">/ подтверждения</w:t>
            </w:r>
            <w:r/>
          </w:p>
        </w:tc>
      </w:tr>
      <w:tr>
        <w:trPr/>
        <w:tc>
          <w:tcPr>
            <w:tcW w:w="2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и 2 года соответственно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50 положения о ЕВСК)</w:t>
            </w:r>
            <w:r/>
          </w:p>
        </w:tc>
        <w:tc>
          <w:tcPr>
            <w:gridSpan w:val="3"/>
            <w:tcBorders>
              <w:right w:val="single" w:color="000000" w:themeColor="text1" w:sz="24" w:space="0"/>
            </w:tcBorders>
            <w:tcW w:w="53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года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53, 54 положения о ЕВСК)</w:t>
            </w:r>
            <w:r/>
          </w:p>
        </w:tc>
        <w:tc>
          <w:tcPr>
            <w:tcBorders>
              <w:left w:val="single" w:color="000000" w:themeColor="text1" w:sz="2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3 и 2 года соответственно</w:t>
            </w:r>
            <w:r>
              <w:rPr>
                <w:rFonts w:ascii="Liberation Serif" w:hAnsi="Liberation Serif"/>
              </w:rPr>
              <w:t xml:space="preserve">,  со дня окончания срока, на который был присвоен</w:t>
            </w:r>
            <w:r>
              <w:rPr>
                <w:rFonts w:ascii="Liberation Serif" w:hAnsi="Liberation Serif"/>
              </w:rPr>
              <w:t xml:space="preserve">/ подтвержден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65 положения о ЕВСК)</w:t>
            </w:r>
            <w:r/>
          </w:p>
        </w:tc>
        <w:tc>
          <w:tcPr>
            <w:gridSpan w:val="4"/>
            <w:tcW w:w="530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2 года</w:t>
            </w:r>
            <w:r>
              <w:rPr>
                <w:rFonts w:ascii="Liberation Serif" w:hAnsi="Liberation Serif"/>
              </w:rPr>
              <w:t xml:space="preserve">,</w:t>
            </w:r>
            <w:r>
              <w:rPr>
                <w:rFonts w:ascii="Liberation Serif" w:hAnsi="Liberation Serif"/>
              </w:rPr>
              <w:t xml:space="preserve"> со дня окончания срока, на который был </w:t>
            </w:r>
            <w:r>
              <w:rPr>
                <w:rFonts w:ascii="Liberation Serif" w:hAnsi="Liberation Serif"/>
              </w:rPr>
              <w:t xml:space="preserve">присвоен</w:t>
            </w:r>
            <w:r>
              <w:rPr>
                <w:rFonts w:ascii="Liberation Serif" w:hAnsi="Liberation Serif"/>
              </w:rPr>
              <w:t xml:space="preserve">/ подтвержден</w:t>
            </w:r>
            <w:r>
              <w:rPr>
                <w:rFonts w:ascii="Liberation Serif" w:hAnsi="Liberation Serif"/>
              </w:rPr>
              <w:t xml:space="preserve"> (п. 65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Кем </w:t>
            </w:r>
            <w:r>
              <w:rPr>
                <w:rFonts w:ascii="Liberation Serif" w:hAnsi="Liberation Serif"/>
                <w:b/>
              </w:rPr>
              <w:t xml:space="preserve">присваивается</w:t>
            </w:r>
            <w:r>
              <w:rPr>
                <w:rFonts w:ascii="Liberation Serif" w:hAnsi="Liberation Serif"/>
                <w:b/>
              </w:rPr>
              <w:t xml:space="preserve">/ подтверждается</w:t>
            </w:r>
            <w:r/>
          </w:p>
        </w:tc>
      </w:tr>
      <w:tr>
        <w:trPr/>
        <w:tc>
          <w:tcPr>
            <w:tcW w:w="265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Органами исполнительной власти (департаментом по ФКиС ЯНАО) (п. 50 положения о ЕВСК)</w:t>
            </w:r>
            <w:r/>
          </w:p>
        </w:tc>
        <w:tc>
          <w:tcPr>
            <w:gridSpan w:val="2"/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Органами местного самоуправления муниципальных районов, муниципальных округов и городских округов (управлениями по ФКиС) (п. 53 положения о ЕВСК)</w:t>
            </w:r>
            <w:r/>
          </w:p>
        </w:tc>
        <w:tc>
          <w:tcPr>
            <w:tcBorders>
              <w:right w:val="single" w:color="000000" w:themeColor="text1" w:sz="24" w:space="0"/>
            </w:tcBorders>
            <w:tcW w:w="265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Физкультурно-спортивными организациями или организациями, осуществляющими деятельность в области ФКиС (п. 54 положения о ЕВСК)</w:t>
            </w:r>
            <w:r/>
          </w:p>
        </w:tc>
        <w:tc>
          <w:tcPr>
            <w:tcBorders>
              <w:left w:val="single" w:color="000000" w:themeColor="text1" w:sz="24" w:space="0"/>
            </w:tcBorders>
            <w:tcW w:w="2653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Органами исполнительной власти (департаментом по ФКиС ЯНАО) (п. 65 положения о ЕВСК)</w:t>
            </w:r>
            <w:r/>
          </w:p>
        </w:tc>
        <w:tc>
          <w:tcPr>
            <w:gridSpan w:val="3"/>
            <w:tcW w:w="2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Органами местного самоуправления муниципальных районов, муниципальных округов и городских округов (управлениями по ФКиС) (п. 65 положения о ЕВСК)</w:t>
            </w:r>
            <w:r/>
          </w:p>
        </w:tc>
        <w:tc>
          <w:tcPr>
            <w:tcW w:w="2654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Физкультурно-спортивными организациями или организациями, осуществляющими деятельность в области ФКиС (п. 65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Способ</w:t>
            </w:r>
            <w:r>
              <w:rPr>
                <w:rFonts w:ascii="Liberation Serif" w:hAnsi="Liberation Serif"/>
                <w:b/>
              </w:rPr>
              <w:t xml:space="preserve">ы</w:t>
            </w:r>
            <w:r>
              <w:rPr>
                <w:rFonts w:ascii="Liberation Serif" w:hAnsi="Liberation Serif"/>
                <w:b/>
              </w:rPr>
              <w:t xml:space="preserve"> подачи</w:t>
            </w:r>
            <w:r>
              <w:rPr>
                <w:rFonts w:ascii="Liberation Serif" w:hAnsi="Liberation Serif"/>
                <w:b/>
              </w:rPr>
              <w:t xml:space="preserve"> преставления, документов</w:t>
            </w:r>
            <w:r/>
          </w:p>
        </w:tc>
      </w:tr>
      <w:tr>
        <w:trPr/>
        <w:tc>
          <w:tcPr>
            <w:gridSpan w:val="9"/>
            <w:tcW w:w="15920" w:type="dxa"/>
            <w:vAlign w:val="center"/>
            <w:textDirection w:val="lrTb"/>
            <w:noWrap w:val="false"/>
          </w:tcPr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в электронной форме, в том числе после аутентификации на Едином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портале государственных и муниципальных услуг </w:t>
            </w:r>
            <w:r>
              <w:rPr>
                <w:rFonts w:ascii="Liberation Serif" w:hAnsi="Liberation Serif"/>
              </w:rPr>
              <w:t xml:space="preserve">с использованием </w:t>
            </w:r>
            <w:r>
              <w:rPr>
                <w:rFonts w:ascii="Liberation Serif" w:hAnsi="Liberation Serif"/>
              </w:rPr>
              <w:t xml:space="preserve">подтвержденной учетной записи в Единой системе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идентификац</w:t>
            </w:r>
            <w:r>
              <w:rPr>
                <w:rFonts w:ascii="Liberation Serif" w:hAnsi="Liberation Serif"/>
              </w:rPr>
              <w:t xml:space="preserve">ии и ау</w:t>
            </w:r>
            <w:r>
              <w:rPr>
                <w:rFonts w:ascii="Liberation Serif" w:hAnsi="Liberation Serif"/>
              </w:rPr>
              <w:t xml:space="preserve">тентификации (д</w:t>
            </w:r>
            <w:r>
              <w:rPr>
                <w:rFonts w:ascii="Liberation Serif" w:hAnsi="Liberation Serif"/>
              </w:rPr>
              <w:t xml:space="preserve">алее - электронная форма), заверенных </w:t>
            </w:r>
            <w:r>
              <w:rPr>
                <w:rFonts w:ascii="Liberation Serif" w:hAnsi="Liberation Serif"/>
              </w:rPr>
              <w:t xml:space="preserve">электр</w:t>
            </w:r>
            <w:r>
              <w:rPr>
                <w:rFonts w:ascii="Liberation Serif" w:hAnsi="Liberation Serif"/>
              </w:rPr>
              <w:t xml:space="preserve">онной подписью в соответствии с </w:t>
            </w:r>
            <w:r>
              <w:rPr>
                <w:rFonts w:ascii="Liberation Serif" w:hAnsi="Liberation Serif"/>
              </w:rPr>
              <w:t xml:space="preserve">Федеральным законом от 6 апреля 2011 г. N 63-ФЗ "Об электронной подписи"</w:t>
            </w:r>
            <w:r>
              <w:rPr>
                <w:rFonts w:ascii="Liberation Serif" w:hAnsi="Liberation Serif"/>
              </w:rPr>
              <w:t xml:space="preserve">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на бумажном </w:t>
            </w:r>
            <w:r>
              <w:rPr>
                <w:rFonts w:ascii="Liberation Serif" w:hAnsi="Liberation Serif"/>
              </w:rPr>
              <w:t xml:space="preserve">носителе</w:t>
            </w:r>
            <w:r>
              <w:rPr>
                <w:rFonts w:ascii="Liberation Serif" w:hAnsi="Liberation Serif"/>
              </w:rPr>
              <w:t xml:space="preserve"> в органы исполнительной власти субъектов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Российской Федерации, органы местного самоуправления, под</w:t>
            </w:r>
            <w:r>
              <w:rPr>
                <w:rFonts w:ascii="Liberation Serif" w:hAnsi="Liberation Serif"/>
              </w:rPr>
              <w:t xml:space="preserve">разделения федеральных органов,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- </w:t>
            </w:r>
            <w:r>
              <w:rPr>
                <w:rFonts w:ascii="Liberation Serif" w:hAnsi="Liberation Serif"/>
              </w:rPr>
              <w:t xml:space="preserve">путем обращения в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многофункциональный центр</w:t>
            </w:r>
            <w:r>
              <w:rPr>
                <w:rFonts w:ascii="Liberation Serif" w:hAnsi="Liberation Serif"/>
              </w:rPr>
              <w:t xml:space="preserve"> (п. 50 положения о ЕВСК)</w:t>
            </w:r>
            <w:r/>
          </w:p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Заверение, подпись представления</w:t>
            </w:r>
            <w:r/>
          </w:p>
        </w:tc>
      </w:tr>
      <w:tr>
        <w:trPr>
          <w:trHeight w:val="5802"/>
        </w:trPr>
        <w:tc>
          <w:tcPr>
            <w:tcW w:w="265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</w:t>
            </w:r>
            <w:r>
              <w:rPr>
                <w:rFonts w:ascii="Liberation Serif" w:hAnsi="Liberation Serif"/>
              </w:rPr>
              <w:t xml:space="preserve">аверенному печатью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 подписью руководителя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региональной спортивной федерации по соответствующему виду спорта</w:t>
            </w:r>
            <w:r>
              <w:rPr>
                <w:rFonts w:ascii="Liberation Serif" w:hAnsi="Liberation Serif"/>
              </w:rPr>
              <w:t xml:space="preserve"> (п. 50 положения о ЕВСК),  а в случае </w:t>
            </w:r>
            <w:r>
              <w:rPr>
                <w:rFonts w:ascii="Liberation Serif" w:hAnsi="Liberation Serif"/>
              </w:rPr>
              <w:t xml:space="preserve">приостановления действия государственной </w:t>
            </w:r>
            <w:r>
              <w:rPr>
                <w:rFonts w:ascii="Liberation Serif" w:hAnsi="Liberation Serif"/>
              </w:rPr>
              <w:t xml:space="preserve">аккредитации </w:t>
            </w:r>
            <w:r>
              <w:rPr>
                <w:rFonts w:ascii="Liberation Serif" w:hAnsi="Liberation Serif"/>
              </w:rPr>
              <w:t xml:space="preserve">региональной спортивной федерации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 - руководителем </w:t>
            </w:r>
            <w:r>
              <w:rPr>
                <w:rFonts w:ascii="Liberation Serif" w:hAnsi="Liberation Serif"/>
              </w:rPr>
              <w:t xml:space="preserve">организации, осуществляющей деятельность в области </w:t>
            </w:r>
            <w:r>
              <w:rPr>
                <w:rFonts w:ascii="Liberation Serif" w:hAnsi="Liberation Serif"/>
              </w:rPr>
              <w:t xml:space="preserve">ФКиС</w:t>
            </w:r>
            <w:r>
              <w:rPr>
                <w:rFonts w:ascii="Liberation Serif" w:hAnsi="Liberation Serif"/>
              </w:rPr>
              <w:t xml:space="preserve">, к которой принадлежит спортсмен</w:t>
            </w:r>
            <w:r>
              <w:rPr>
                <w:rFonts w:ascii="Liberation Serif" w:hAnsi="Liberation Serif"/>
              </w:rPr>
              <w:t xml:space="preserve"> (п. 51 положения о ЕВСК)</w:t>
            </w:r>
            <w:r/>
          </w:p>
        </w:tc>
        <w:tc>
          <w:tcPr>
            <w:gridSpan w:val="2"/>
            <w:tcW w:w="2653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Заверенному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печатью и подписью руководителя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местной спортивной федерации по месту их территориальной сферы деятельности</w:t>
            </w:r>
            <w:r>
              <w:rPr>
                <w:rFonts w:ascii="Liberation Serif" w:hAnsi="Liberation Serif"/>
              </w:rPr>
              <w:t xml:space="preserve">, а в случае её отсутствия или </w:t>
            </w:r>
            <w:r>
              <w:rPr>
                <w:rFonts w:ascii="Liberation Serif" w:hAnsi="Liberation Serif"/>
              </w:rPr>
              <w:t xml:space="preserve">приостановления действия государственной аккредитации 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региональной спортивной федерации </w:t>
            </w:r>
            <w:r>
              <w:rPr>
                <w:rFonts w:ascii="Liberation Serif" w:hAnsi="Liberation Serif"/>
              </w:rPr>
              <w:t xml:space="preserve">- руководителем </w:t>
            </w:r>
            <w:r>
              <w:rPr>
                <w:rFonts w:ascii="Liberation Serif" w:hAnsi="Liberation Serif"/>
              </w:rPr>
              <w:t xml:space="preserve">организации, осуществляющей деятельность в области </w:t>
            </w:r>
            <w:r>
              <w:rPr>
                <w:rFonts w:ascii="Liberation Serif" w:hAnsi="Liberation Serif"/>
              </w:rPr>
              <w:t xml:space="preserve">ФКиС</w:t>
            </w:r>
            <w:r>
              <w:rPr>
                <w:rFonts w:ascii="Liberation Serif" w:hAnsi="Liberation Serif"/>
              </w:rPr>
              <w:t xml:space="preserve">, к которой принадлежит спортсмен</w:t>
            </w:r>
            <w:r>
              <w:rPr>
                <w:rFonts w:ascii="Liberation Serif" w:hAnsi="Liberation Serif"/>
              </w:rPr>
              <w:t xml:space="preserve">, по месту ее нахождения (п. 53 положения о ЕВСК)</w:t>
            </w:r>
            <w:r/>
          </w:p>
        </w:tc>
        <w:tc>
          <w:tcPr>
            <w:tcBorders>
              <w:right w:val="single" w:color="000000" w:themeColor="text1" w:sz="24" w:space="0"/>
            </w:tcBorders>
            <w:tcW w:w="2655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</w:t>
            </w:r>
            <w:r>
              <w:rPr>
                <w:rFonts w:ascii="Liberation Serif" w:hAnsi="Liberation Serif"/>
              </w:rPr>
              <w:t xml:space="preserve">одписанному тренером-преподавателем (включая старшего), тренером, или по обращению спортсмена или его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законного представителя (далее </w:t>
            </w:r>
            <w:r>
              <w:rPr>
                <w:rFonts w:ascii="Liberation Serif" w:hAnsi="Liberation Serif"/>
              </w:rPr>
              <w:t xml:space="preserve">–</w:t>
            </w:r>
            <w:r>
              <w:rPr>
                <w:rFonts w:ascii="Liberation Serif" w:hAnsi="Liberation Serif"/>
              </w:rPr>
              <w:t xml:space="preserve"> Заявитель), по месту жительства спортсмена или по месту нахождения организации, осуществляющей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деятельность в области физической культуры и спорта</w:t>
            </w:r>
            <w:r>
              <w:rPr>
                <w:rFonts w:ascii="Liberation Serif" w:hAnsi="Liberation Serif"/>
              </w:rPr>
              <w:t xml:space="preserve"> 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Юношеские спортивные разряды присваиваются </w:t>
            </w:r>
            <w:r>
              <w:rPr>
                <w:rFonts w:ascii="Liberation Serif" w:hAnsi="Liberation Serif"/>
                <w:b/>
              </w:rPr>
              <w:t xml:space="preserve">до 18 лет</w:t>
            </w:r>
            <w:r>
              <w:rPr>
                <w:rFonts w:ascii="Liberation Serif" w:hAnsi="Liberation Serif"/>
              </w:rPr>
              <w:t xml:space="preserve">. Срок действия юношеских спортивных разрядов истекает по достижению</w:t>
            </w:r>
            <w:r>
              <w:rPr>
                <w:rFonts w:ascii="Liberation Serif" w:hAnsi="Liberation Serif"/>
              </w:rPr>
              <w:t xml:space="preserve"> спортсменом возраста 18 лет (п. 54 положения о ЕВСК)</w:t>
            </w:r>
            <w:r/>
          </w:p>
        </w:tc>
        <w:tc>
          <w:tcPr>
            <w:gridSpan w:val="5"/>
            <w:tcBorders>
              <w:left w:val="single" w:color="000000" w:themeColor="text1" w:sz="24" w:space="0"/>
            </w:tcBorders>
            <w:tcW w:w="7961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</w:t>
            </w:r>
            <w:r>
              <w:rPr>
                <w:rFonts w:ascii="Liberation Serif" w:hAnsi="Liberation Serif"/>
              </w:rPr>
              <w:t xml:space="preserve">аверенному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печатью и подписью  руководителя спортивной федерации, организации, осуществляющей деятельность в области ФКиС или Заявителя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соответ</w:t>
            </w:r>
            <w:r>
              <w:rPr>
                <w:rFonts w:ascii="Liberation Serif" w:hAnsi="Liberation Serif"/>
                <w:lang w:val="en-US"/>
              </w:rPr>
              <w:t xml:space="preserve">c</w:t>
            </w:r>
            <w:r>
              <w:rPr>
                <w:rFonts w:ascii="Liberation Serif" w:hAnsi="Liberation Serif"/>
                <w:lang w:val="ru-RU"/>
              </w:rPr>
              <w:t xml:space="preserve">т</w:t>
            </w:r>
            <w:r>
              <w:rPr>
                <w:rFonts w:ascii="Liberation Serif" w:hAnsi="Liberation Serif"/>
              </w:rPr>
              <w:t xml:space="preserve">венно</w:t>
            </w:r>
            <w:r>
              <w:rPr>
                <w:rFonts w:ascii="Liberation Serif" w:hAnsi="Liberation Serif"/>
              </w:rPr>
              <w:t xml:space="preserve">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 </w:t>
            </w:r>
            <w:r>
              <w:rPr>
                <w:rFonts w:ascii="Liberation Serif" w:hAnsi="Liberation Serif"/>
              </w:rPr>
              <w:t xml:space="preserve">срок </w:t>
            </w:r>
            <w:r>
              <w:rPr>
                <w:rFonts w:ascii="Liberation Serif" w:hAnsi="Liberation Serif"/>
                <w:b/>
                <w:bCs/>
              </w:rPr>
              <w:t xml:space="preserve">не ранее чем за 2 месяца до дня окончания и не позднее дня окончании срока</w:t>
            </w:r>
            <w:r>
              <w:rPr>
                <w:rFonts w:ascii="Liberation Serif" w:hAnsi="Liberation Serif"/>
              </w:rPr>
              <w:t xml:space="preserve">, на который был присвоен спортивный разряд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65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Содержание представления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Ф.И.О., дата </w:t>
            </w:r>
            <w:r>
              <w:rPr>
                <w:rFonts w:ascii="Liberation Serif" w:hAnsi="Liberation Serif"/>
              </w:rPr>
              <w:t xml:space="preserve"> рождения, а также сведения о результате спортсмена, показанном на соревновании (далее </w:t>
            </w:r>
            <w:r>
              <w:rPr>
                <w:rFonts w:ascii="Liberation Serif" w:hAnsi="Liberation Serif"/>
              </w:rPr>
              <w:t xml:space="preserve">–</w:t>
            </w:r>
            <w:r>
              <w:rPr>
                <w:rFonts w:ascii="Liberation Serif" w:hAnsi="Liberation Serif"/>
              </w:rPr>
              <w:t xml:space="preserve"> представление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для присвоения (подтверждения) спортивного разряда)</w:t>
            </w:r>
            <w:r>
              <w:rPr>
                <w:rFonts w:ascii="Liberation Serif" w:hAnsi="Liberation Serif"/>
              </w:rPr>
              <w:t xml:space="preserve"> (п. 50 положения о ЕВСК) 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К представлению прилагаются</w:t>
            </w:r>
            <w:r>
              <w:rPr>
                <w:rFonts w:ascii="Liberation Serif" w:hAnsi="Liberation Serif"/>
                <w:b/>
              </w:rPr>
              <w:t xml:space="preserve"> документы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</w:t>
            </w:r>
            <w:r>
              <w:rPr>
                <w:rFonts w:ascii="Liberation Serif" w:hAnsi="Liberation Serif"/>
                <w:b/>
              </w:rPr>
              <w:t xml:space="preserve">) копия протокола соревнования</w:t>
            </w:r>
            <w:r>
              <w:rPr>
                <w:rFonts w:ascii="Liberation Serif" w:hAnsi="Liberation Serif"/>
              </w:rPr>
              <w:t xml:space="preserve">, подписанного </w:t>
            </w:r>
            <w:r>
              <w:rPr>
                <w:rFonts w:ascii="Liberation Serif" w:hAnsi="Liberation Serif"/>
              </w:rPr>
              <w:t xml:space="preserve">главным судьей</w:t>
            </w:r>
            <w:r>
              <w:rPr>
                <w:rFonts w:ascii="Liberation Serif" w:hAnsi="Liberation Serif"/>
              </w:rPr>
              <w:t xml:space="preserve">, отражающего выполнение норм, требований и условий их выполнения - для присвоения всех спортивных разрядов;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б) </w:t>
            </w:r>
            <w:r>
              <w:rPr>
                <w:rFonts w:ascii="Liberation Serif" w:hAnsi="Liberation Serif"/>
                <w:b/>
              </w:rPr>
              <w:t xml:space="preserve">копия справки о составе и квалификации судейской коллегии</w:t>
            </w:r>
            <w:r>
              <w:rPr>
                <w:rFonts w:ascii="Liberation Serif" w:hAnsi="Liberation Serif"/>
              </w:rPr>
              <w:t xml:space="preserve">, подписанной </w:t>
            </w:r>
            <w:r>
              <w:rPr>
                <w:rFonts w:ascii="Liberation Serif" w:hAnsi="Liberation Serif"/>
              </w:rPr>
              <w:t xml:space="preserve">главным судьей </w:t>
            </w:r>
            <w:r>
              <w:rPr>
                <w:rFonts w:ascii="Liberation Serif" w:hAnsi="Liberation Serif"/>
              </w:rPr>
              <w:t xml:space="preserve">(за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исключением международных соревнований);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в) копии и заверенный перевод на русский язык документов, подтверждающих наличие международной категории спортивного судьи по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соответствующему виду спорта и копии удостоверений "спортивный судья всероссийской категории" для международных соревнований, </w:t>
            </w:r>
            <w:r>
              <w:rPr>
                <w:rFonts w:ascii="Liberation Serif" w:hAnsi="Liberation Serif"/>
                <w:b/>
              </w:rPr>
              <w:t xml:space="preserve">не включенных в календарный план</w:t>
            </w:r>
            <w:r>
              <w:rPr>
                <w:rFonts w:ascii="Liberation Serif" w:hAnsi="Liberation Serif"/>
              </w:rPr>
              <w:t xml:space="preserve"> соответствующей международной спортивной федерации - для присвоения спортивного разряда КМС. </w:t>
            </w:r>
            <w:r>
              <w:rPr>
                <w:rFonts w:ascii="Liberation Serif" w:hAnsi="Liberation Serif"/>
              </w:rPr>
              <w:t xml:space="preserve">Копии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указанных документов представляются на спортивных судей, включенных в состав судейской коллегии, осуществлявшей судейство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соревнований, на которых спортсмен выполнил нормы, требования и условия не менее чем: для международных соревнований, </w:t>
            </w:r>
            <w:r>
              <w:rPr>
                <w:rFonts w:ascii="Liberation Serif" w:hAnsi="Liberation Serif"/>
                <w:b/>
              </w:rPr>
              <w:t xml:space="preserve">не включенных в календарный план</w:t>
            </w:r>
            <w:r>
              <w:rPr>
                <w:rFonts w:ascii="Liberation Serif" w:hAnsi="Liberation Serif"/>
              </w:rPr>
              <w:t xml:space="preserve"> соответствующей международной спортивной федерации - 5, для остальных соревнований - 3.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При подаче документов в электронной форме, предоставляется нотариально удостоверенный перевод, подписанный ЭП нотариуса;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г) две фотографии размером 3 х 4 см (для присвоения спортивных разрядов КМС, "первый спортивный разряд");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д) копия документа, удостоверяющего принадлежность спортсмена к организации, осуществляющей деятельность в области </w:t>
            </w:r>
            <w:r>
              <w:rPr>
                <w:rFonts w:ascii="Liberation Serif" w:hAnsi="Liberation Serif"/>
              </w:rPr>
              <w:t xml:space="preserve">ФКиС</w:t>
            </w:r>
            <w:r>
              <w:rPr>
                <w:rFonts w:ascii="Liberation Serif" w:hAnsi="Liberation Serif"/>
              </w:rPr>
              <w:t xml:space="preserve"> (в случае приостановления действия государственной аккредитации региональной спортивной федерации);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е) копии второй и третьей страниц паспорта гражданина Российской Федерации, а также копии страниц, содержащих сведения о месте</w:t>
            </w:r>
            <w:r>
              <w:rPr>
                <w:rFonts w:ascii="Liberation Serif" w:hAnsi="Liberation Serif"/>
              </w:rPr>
              <w:t xml:space="preserve"> жительства.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Для ли</w:t>
            </w:r>
            <w:r>
              <w:rPr>
                <w:rFonts w:ascii="Liberation Serif" w:hAnsi="Liberation Serif"/>
              </w:rPr>
              <w:t xml:space="preserve">ц, не достигших возраста 14 лет</w:t>
            </w:r>
            <w:r>
              <w:rPr>
                <w:rFonts w:ascii="Liberation Serif" w:hAnsi="Liberation Serif"/>
              </w:rPr>
              <w:t xml:space="preserve"> - копия свидетельства о рождении.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 подаче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документов в электро</w:t>
            </w:r>
            <w:r>
              <w:rPr>
                <w:rFonts w:ascii="Liberation Serif" w:hAnsi="Liberation Serif"/>
              </w:rPr>
              <w:t xml:space="preserve">нной форме сведения из этих документов</w:t>
            </w:r>
            <w:r>
              <w:rPr>
                <w:rFonts w:ascii="Liberation Serif" w:hAnsi="Liberation Serif"/>
              </w:rPr>
              <w:t xml:space="preserve">, вносятся в соответствующие поля на интерактивной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портальной форме и будут проверены путем направления запроса с использованием системы межведомственного электронного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взаимодействия.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ж) копия положения (регламен</w:t>
            </w:r>
            <w:r>
              <w:rPr>
                <w:rFonts w:ascii="Liberation Serif" w:hAnsi="Liberation Serif"/>
              </w:rPr>
              <w:t xml:space="preserve">та) о физкультурном мероприятии/ </w:t>
            </w:r>
            <w:r>
              <w:rPr>
                <w:rFonts w:ascii="Liberation Serif" w:hAnsi="Liberation Serif"/>
              </w:rPr>
              <w:t xml:space="preserve">спортивном соревновании, на котором спортсмен выполнил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нормы, требования и условия их выполнения для присвоения спортивного разряда;</w:t>
            </w:r>
            <w:r/>
          </w:p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з</w:t>
            </w:r>
            <w:r>
              <w:rPr>
                <w:rFonts w:ascii="Liberation Serif" w:hAnsi="Liberation Serif"/>
              </w:rPr>
              <w:t xml:space="preserve">) копия документа (справка, протокол), подписанного </w:t>
            </w:r>
            <w:r>
              <w:rPr>
                <w:rFonts w:ascii="Liberation Serif" w:hAnsi="Liberation Serif"/>
              </w:rPr>
              <w:t xml:space="preserve">главным судьей</w:t>
            </w:r>
            <w:r>
              <w:rPr>
                <w:rFonts w:ascii="Liberation Serif" w:hAnsi="Liberation Serif"/>
              </w:rPr>
              <w:t xml:space="preserve">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содержащего сведения о количестве стран (для международных соревнований, не включенных в календарный план соответствующей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международной спортивной федерации) или субъектов Российской Федерации (для всероссийских и межрегиональных соревнований),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принявших участие в соответствующем соревновании</w:t>
            </w:r>
            <w:r>
              <w:rPr>
                <w:rFonts w:ascii="Liberation Serif" w:hAnsi="Liberation Serif"/>
              </w:rPr>
              <w:t xml:space="preserve"> (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57, 65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Процедура подачи, рассмотрения и принятия решения о присвоении/ подтверждении спортивного разряда</w:t>
            </w:r>
            <w:r>
              <w:rPr>
                <w:rFonts w:ascii="Liberation Serif" w:hAnsi="Liberation Serif"/>
                <w:b/>
              </w:rPr>
              <w:t xml:space="preserve">:</w:t>
            </w:r>
            <w:r/>
          </w:p>
        </w:tc>
      </w:tr>
      <w:tr>
        <w:trPr/>
        <w:tc>
          <w:tcPr>
            <w:gridSpan w:val="4"/>
            <w:tcBorders>
              <w:right w:val="single" w:color="000000" w:themeColor="text1" w:sz="24" w:space="0"/>
            </w:tcBorders>
            <w:tcW w:w="795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Представление и прилагаемые к нему документы подаются в течение 4 месяцев со дня выполнения спортсменом норм, требований и условий их выполнения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56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</w:tc>
        <w:tc>
          <w:tcPr>
            <w:gridSpan w:val="2"/>
            <w:tcBorders>
              <w:left w:val="single" w:color="000000" w:themeColor="text1" w:sz="24" w:space="0"/>
            </w:tcBorders>
            <w:tcW w:w="2922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случае если спортсмен в течение срока, на который был присвоен спортивный разряд, повторно выполнил нормы, требования 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условия (</w:t>
            </w:r>
            <w:r>
              <w:rPr>
                <w:rFonts w:ascii="Liberation Serif" w:hAnsi="Liberation Serif"/>
                <w:b/>
              </w:rPr>
              <w:t xml:space="preserve">подтвердил спортивный разряд</w:t>
            </w:r>
            <w:r>
              <w:rPr>
                <w:rFonts w:ascii="Liberation Serif" w:hAnsi="Liberation Serif"/>
              </w:rPr>
              <w:t xml:space="preserve">) (далее - подтверждение), </w:t>
            </w:r>
            <w:r>
              <w:rPr>
                <w:rFonts w:ascii="Liberation Serif" w:hAnsi="Liberation Serif"/>
              </w:rPr>
              <w:t xml:space="preserve">в </w:t>
            </w:r>
            <w:r>
              <w:rPr>
                <w:rFonts w:ascii="Liberation Serif" w:hAnsi="Liberation Serif"/>
              </w:rPr>
              <w:t xml:space="preserve">срок не ранее чем за 2 месяца до дня окончания и не позднее дня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окончания срока, </w:t>
            </w:r>
            <w:r>
              <w:rPr>
                <w:rFonts w:ascii="Liberation Serif" w:hAnsi="Liberation Serif"/>
              </w:rPr>
              <w:t xml:space="preserve">присвоенного</w:t>
            </w:r>
            <w:r>
              <w:rPr>
                <w:rFonts w:ascii="Liberation Serif" w:hAnsi="Liberation Serif"/>
              </w:rPr>
              <w:t xml:space="preserve"> спортивн</w:t>
            </w:r>
            <w:r>
              <w:rPr>
                <w:rFonts w:ascii="Liberation Serif" w:hAnsi="Liberation Serif"/>
              </w:rPr>
              <w:t xml:space="preserve">ого </w:t>
            </w:r>
            <w:r>
              <w:rPr>
                <w:rFonts w:ascii="Liberation Serif" w:hAnsi="Liberation Serif"/>
              </w:rPr>
              <w:t xml:space="preserve">разряд</w:t>
            </w:r>
            <w:r>
              <w:rPr>
                <w:rFonts w:ascii="Liberation Serif" w:hAnsi="Liberation Serif"/>
              </w:rPr>
              <w:t xml:space="preserve">а</w:t>
            </w:r>
            <w:r>
              <w:rPr>
                <w:rFonts w:ascii="Liberation Serif" w:hAnsi="Liberation Serif"/>
              </w:rPr>
              <w:t xml:space="preserve">, в Организацию</w:t>
            </w:r>
            <w:r>
              <w:rPr>
                <w:rFonts w:ascii="Liberation Serif" w:hAnsi="Liberation Serif"/>
              </w:rPr>
              <w:t xml:space="preserve">*</w:t>
            </w:r>
            <w:r>
              <w:rPr>
                <w:rFonts w:ascii="Liberation Serif" w:hAnsi="Liberation Serif"/>
              </w:rPr>
              <w:t xml:space="preserve"> подается представление для присвоения (подтверждения)</w:t>
            </w:r>
            <w:r>
              <w:rPr>
                <w:rFonts w:ascii="Liberation Serif" w:hAnsi="Liberation Serif"/>
              </w:rPr>
              <w:t xml:space="preserve"> спортивного разряда и прилагаемые к нему документы 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65 положения о ЕВСК)</w:t>
            </w:r>
            <w:r/>
          </w:p>
        </w:tc>
        <w:tc>
          <w:tcPr>
            <w:gridSpan w:val="3"/>
            <w:tcW w:w="5039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случае если спортсмен в течение срока, на который был присвоен или подтвержден спортивный разряд, </w:t>
            </w:r>
            <w:r>
              <w:rPr>
                <w:rFonts w:ascii="Liberation Serif" w:hAnsi="Liberation Serif"/>
                <w:b/>
              </w:rPr>
              <w:t xml:space="preserve">не подтвердил спортивный разряд,</w:t>
            </w:r>
            <w:r>
              <w:rPr>
                <w:rFonts w:ascii="Liberation Serif" w:hAnsi="Liberation Serif"/>
              </w:rPr>
              <w:t xml:space="preserve"> спортсмену присваивается спортивный разряд в соответствии с выполненными им нормами, требованиями и условиями их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выполнения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Представление и прилагаемые к нему документы подаются </w:t>
            </w:r>
            <w:r>
              <w:rPr>
                <w:rFonts w:ascii="Liberation Serif" w:hAnsi="Liberation Serif"/>
              </w:rPr>
              <w:t xml:space="preserve">в срок не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ранее чем за 4 месяца до дня окончания срока, на который был присвоен или подтвержден спортивный разряд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71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НО если вследствие отмены соревнований, причинами которой послужили обстоятельства непреодолимой силы, спортсмен </w:t>
            </w:r>
            <w:r>
              <w:rPr>
                <w:rFonts w:ascii="Liberation Serif" w:hAnsi="Liberation Serif"/>
                <w:b/>
                <w:i/>
              </w:rPr>
              <w:t xml:space="preserve">не подтвердил спортивный разряд</w:t>
            </w:r>
            <w:r>
              <w:rPr>
                <w:rFonts w:ascii="Liberation Serif" w:hAnsi="Liberation Serif"/>
                <w:i/>
              </w:rPr>
              <w:t xml:space="preserve">, срок действия такого спортивного разряда продлевается на 12 месяцев со дня </w:t>
            </w:r>
            <w:r>
              <w:rPr>
                <w:rFonts w:ascii="Liberation Serif" w:hAnsi="Liberation Serif"/>
                <w:i/>
              </w:rPr>
              <w:t xml:space="preserve">окончания срока действия обстоятельств непреодолимой силы</w:t>
            </w:r>
            <w:r/>
          </w:p>
          <w:p>
            <w:pPr>
              <w:jc w:val="center"/>
              <w:rPr>
                <w:rFonts w:ascii="Liberation Serif" w:hAnsi="Liberation Serif"/>
                <w:i/>
              </w:rPr>
            </w:pPr>
            <w:r>
              <w:rPr>
                <w:rFonts w:ascii="Liberation Serif" w:hAnsi="Liberation Serif"/>
                <w:i/>
              </w:rPr>
              <w:t xml:space="preserve">(п. 73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27940</wp:posOffset>
                      </wp:positionV>
                      <wp:extent cx="266065" cy="158115"/>
                      <wp:effectExtent l="0" t="0" r="0" b="0"/>
                      <wp:wrapNone/>
                      <wp:docPr id="1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0" o:spid="_x0000_s0" style="position:absolute;z-index:251659264;o:allowoverlap:true;o:allowincell:true;mso-position-horizontal-relative:text;margin-left:382.1pt;mso-position-horizontal:absolute;mso-position-vertical-relative:text;margin-top:2.2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Прием, регистрация представления и документов, отказ в их приеме и регистрации, возвращ</w:t>
            </w:r>
            <w:r>
              <w:rPr>
                <w:rFonts w:ascii="Liberation Serif" w:hAnsi="Liberation Serif"/>
              </w:rPr>
              <w:t xml:space="preserve">ение документов осуществляется О</w:t>
            </w:r>
            <w:r>
              <w:rPr>
                <w:rFonts w:ascii="Liberation Serif" w:hAnsi="Liberation Serif"/>
              </w:rPr>
              <w:t xml:space="preserve">рганизацией в течение 3 рабочих дней</w:t>
            </w:r>
            <w:r>
              <w:rPr>
                <w:rFonts w:ascii="Liberation Serif" w:hAnsi="Liberation Serif"/>
              </w:rPr>
              <w:t xml:space="preserve">; </w:t>
            </w:r>
            <w:r>
              <w:rPr>
                <w:rFonts w:ascii="Liberation Serif" w:hAnsi="Liberation Serif"/>
              </w:rPr>
              <w:t xml:space="preserve">основаниями для отказа в приеме, регистрации и возвращения документов, является подача документов, не соответствующих требованиям, предусмотренных 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</w:t>
            </w:r>
            <w:r>
              <w:rPr>
                <w:rFonts w:ascii="Liberation Serif" w:hAnsi="Liberation Serif"/>
              </w:rPr>
              <w:t xml:space="preserve"> 50-55 и п. 57 Положения о ЕВСК;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 случае подачи  документов в электронной форме – не возвращаются (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58, 66 положения о ЕВСК);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20320</wp:posOffset>
                      </wp:positionV>
                      <wp:extent cx="266065" cy="158115"/>
                      <wp:effectExtent l="0" t="0" r="0" b="0"/>
                      <wp:wrapNone/>
                      <wp:docPr id="2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1" o:spid="_x0000_s1" style="position:absolute;z-index:251666432;o:allowoverlap:true;o:allowincell:true;mso-position-horizontal-relative:text;margin-left:382.1pt;mso-position-horizontal:absolute;mso-position-vertical-relative:text;margin-top:1.6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Документы рассматриваются в течение </w:t>
            </w:r>
            <w:r>
              <w:rPr>
                <w:rFonts w:ascii="Liberation Serif" w:hAnsi="Liberation Serif"/>
              </w:rPr>
              <w:t xml:space="preserve">16 рабочих дней со дня их регистрации</w:t>
            </w:r>
            <w:r>
              <w:rPr>
                <w:rFonts w:ascii="Liberation Serif" w:hAnsi="Liberation Serif"/>
              </w:rPr>
              <w:t xml:space="preserve"> (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59, 67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9525</wp:posOffset>
                      </wp:positionV>
                      <wp:extent cx="266065" cy="158115"/>
                      <wp:effectExtent l="0" t="0" r="0" b="0"/>
                      <wp:wrapNone/>
                      <wp:docPr id="3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2" o:spid="_x0000_s2" style="position:absolute;z-index:251660288;o:allowoverlap:true;o:allowincell:true;mso-position-horizontal-relative:text;margin-left:382.1pt;mso-position-horizontal:absolute;mso-position-vertical-relative:text;margin-top:0.8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4852670</wp:posOffset>
                      </wp:positionH>
                      <wp:positionV relativeFrom="paragraph">
                        <wp:posOffset>299085</wp:posOffset>
                      </wp:positionV>
                      <wp:extent cx="266065" cy="158115"/>
                      <wp:effectExtent l="0" t="0" r="0" b="0"/>
                      <wp:wrapNone/>
                      <wp:docPr id="4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3" o:spid="_x0000_s3" style="position:absolute;z-index:251662336;o:allowoverlap:true;o:allowincell:true;mso-position-horizontal-relative:text;margin-left:382.1pt;mso-position-horizontal:absolute;mso-position-vertical-relative:text;margin-top:23.5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>
              <w:rPr>
                <w:rFonts w:ascii="Liberation Serif" w:hAnsi="Liberation Serif"/>
              </w:rPr>
              <w:t xml:space="preserve">Решение о </w:t>
            </w:r>
            <w:r>
              <w:rPr>
                <w:rFonts w:ascii="Liberation Serif" w:hAnsi="Liberation Serif"/>
              </w:rPr>
              <w:t xml:space="preserve">присвоении</w:t>
            </w:r>
            <w:r>
              <w:rPr>
                <w:rFonts w:ascii="Liberation Serif" w:hAnsi="Liberation Serif"/>
              </w:rPr>
              <w:t xml:space="preserve">/</w:t>
            </w:r>
            <w:r>
              <w:rPr>
                <w:rFonts w:ascii="Liberation Serif" w:hAnsi="Liberation Serif"/>
              </w:rPr>
              <w:t xml:space="preserve"> об отказе в присвоении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подтверждении</w:t>
            </w:r>
            <w:r>
              <w:rPr>
                <w:rFonts w:ascii="Liberation Serif" w:hAnsi="Liberation Serif"/>
              </w:rPr>
              <w:t xml:space="preserve">/ отказе в подтверждении</w:t>
            </w:r>
            <w:r>
              <w:rPr>
                <w:rFonts w:ascii="Liberation Serif" w:hAnsi="Liberation Serif"/>
              </w:rPr>
              <w:t xml:space="preserve"> спортивного разряда осуществляется в течение 3 рабочих дней со дня окончания рассмотрения документов</w:t>
            </w:r>
            <w:r>
              <w:rPr>
                <w:rFonts w:ascii="Liberation Serif" w:hAnsi="Liberation Serif"/>
              </w:rPr>
              <w:t xml:space="preserve"> (</w:t>
            </w:r>
            <w:r>
              <w:rPr>
                <w:rFonts w:ascii="Liberation Serif" w:hAnsi="Liberation Serif"/>
              </w:rPr>
              <w:t xml:space="preserve">пп</w:t>
            </w:r>
            <w:r>
              <w:rPr>
                <w:rFonts w:ascii="Liberation Serif" w:hAnsi="Liberation Serif"/>
              </w:rPr>
              <w:t xml:space="preserve">. 59, 67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</w:tc>
      </w:tr>
      <w:tr>
        <w:trPr/>
        <w:tc>
          <w:tcPr>
            <w:gridSpan w:val="2"/>
            <w:tcW w:w="3978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w:t xml:space="preserve">Решение о присвоении спортивного разряда </w:t>
            </w:r>
            <w:r>
              <w:rPr>
                <w:rFonts w:ascii="Liberation Serif" w:hAnsi="Liberation Serif"/>
              </w:rPr>
              <w:t xml:space="preserve">оформляется приказом, который подписывается руководителем Организации</w:t>
            </w:r>
            <w:r>
              <w:rPr>
                <w:rFonts w:ascii="Liberation Serif" w:hAnsi="Liberation Serif"/>
              </w:rPr>
              <w:t xml:space="preserve"> (п. 59 положения о </w:t>
            </w:r>
            <w:r>
              <w:rPr>
                <w:rFonts w:ascii="Liberation Serif" w:hAnsi="Liberation Serif"/>
              </w:rPr>
              <w:t xml:space="preserve">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1061085</wp:posOffset>
                      </wp:positionH>
                      <wp:positionV relativeFrom="paragraph">
                        <wp:posOffset>31750</wp:posOffset>
                      </wp:positionV>
                      <wp:extent cx="266065" cy="158115"/>
                      <wp:effectExtent l="0" t="0" r="0" b="0"/>
                      <wp:wrapNone/>
                      <wp:docPr id="5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4" o:spid="_x0000_s4" style="position:absolute;z-index:251667456;o:allowoverlap:true;o:allowincell:true;mso-position-horizontal-relative:text;margin-left:83.5pt;mso-position-horizontal:absolute;mso-position-vertical-relative:text;margin-top:2.5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Копия решения н</w:t>
            </w:r>
            <w:r>
              <w:rPr>
                <w:rFonts w:ascii="Liberation Serif" w:hAnsi="Liberation Serif"/>
              </w:rPr>
              <w:t xml:space="preserve">аправляетс</w:t>
            </w:r>
            <w:r>
              <w:rPr>
                <w:rFonts w:ascii="Liberation Serif" w:hAnsi="Liberation Serif"/>
              </w:rPr>
              <w:t xml:space="preserve">я в спортивную федерацию, организацию, осуществляющую деятельность в области ФКиС, или Заявителю и размещается на официальном сайте Организации в информационно-телекоммуникационной сети «Интернет»  (в случае подачи представления и документов в электронной </w:t>
            </w:r>
            <w:r>
              <w:rPr>
                <w:rFonts w:ascii="Liberation Serif" w:hAnsi="Liberation Serif"/>
              </w:rPr>
              <w:t xml:space="preserve">форме, документ о принятом решении, подписанный ЭП Организации, размещается в личном кабинете региональной федерации, организации, осуществляющей деятельность в области ФКиС, в системе, автоматизирующей исполнение государственных функций или предоставление</w:t>
            </w:r>
            <w:r>
              <w:rPr>
                <w:rFonts w:ascii="Liberation Serif" w:hAnsi="Liberation Serif"/>
              </w:rPr>
              <w:t xml:space="preserve"> государственных услуг, посредством которой были поданы документы)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60 положения о ЕВСК)</w:t>
            </w:r>
            <w:r/>
          </w:p>
          <w:p>
            <w:pPr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  <w:b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1036320</wp:posOffset>
                      </wp:positionH>
                      <wp:positionV relativeFrom="paragraph">
                        <wp:posOffset>3175</wp:posOffset>
                      </wp:positionV>
                      <wp:extent cx="266065" cy="158115"/>
                      <wp:effectExtent l="0" t="0" r="0" b="0"/>
                      <wp:wrapNone/>
                      <wp:docPr id="6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5" o:spid="_x0000_s5" style="position:absolute;z-index:251663360;o:allowoverlap:true;o:allowincell:true;mso-position-horizontal-relative:text;margin-left:81.6pt;mso-position-horizontal:absolute;mso-position-vertical-relative:text;margin-top:0.2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Выдача нагрудного значка и зачетной классификационной книжки, занесение сведений о присвоении спортивного разряда и заверение печатью и подписью руководителя Организации, присвоившей спортивный разряд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 (в случае оформления в электронном виде, внесенные сведения заверяются ЭП руководителя</w:t>
            </w:r>
            <w:r>
              <w:rPr>
                <w:rFonts w:ascii="Liberation Serif" w:hAnsi="Liberation Serif"/>
              </w:rPr>
              <w:t xml:space="preserve"> Организации, присвоившей спортивный разряд)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62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</w:r>
            <w:r/>
          </w:p>
        </w:tc>
        <w:tc>
          <w:tcPr>
            <w:gridSpan w:val="2"/>
            <w:tcBorders>
              <w:right w:val="single" w:color="000000" w:themeColor="text1" w:sz="24" w:space="0"/>
            </w:tcBorders>
            <w:tcW w:w="3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 случае </w:t>
            </w:r>
            <w:r>
              <w:rPr>
                <w:rFonts w:ascii="Liberation Serif" w:hAnsi="Liberation Serif"/>
                <w:b/>
              </w:rPr>
              <w:t xml:space="preserve">принятия решения об отказе в присвоении  спортивного разряда</w:t>
            </w:r>
            <w:r>
              <w:rPr>
                <w:rFonts w:ascii="Liberation Serif" w:hAnsi="Liberation Serif"/>
              </w:rPr>
              <w:t xml:space="preserve">, Организация</w:t>
            </w:r>
            <w:r>
              <w:rPr>
                <w:rFonts w:ascii="Liberation Serif" w:hAnsi="Liberation Serif"/>
              </w:rPr>
              <w:t xml:space="preserve">*</w:t>
            </w:r>
            <w:r>
              <w:rPr>
                <w:rFonts w:ascii="Liberation Serif" w:hAnsi="Liberation Serif"/>
              </w:rPr>
              <w:t xml:space="preserve"> в течение 3 рабочих дней со дня принятия решения направляет в </w:t>
            </w:r>
            <w:r>
              <w:rPr>
                <w:rFonts w:ascii="Liberation Serif" w:hAnsi="Liberation Serif"/>
              </w:rPr>
              <w:t xml:space="preserve">спортивную федерацию, организацию, осуществляющую деятельность в области ФКиС, должностному лицу или Заявителю обоснованный письменный отказ и возвращает документы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63 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Основания для отказа: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а) несоответствие результата спортсмена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нормам, требованиям 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условиям их выполнения, включенным в ЕВСК;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б) спортивная дисквалификация спортсмена;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в) нарушение условий допуска к соревнованиям</w:t>
            </w:r>
            <w:r>
              <w:rPr>
                <w:rFonts w:ascii="Liberation Serif" w:hAnsi="Liberation Serif"/>
              </w:rPr>
              <w:t xml:space="preserve">/ </w:t>
            </w:r>
            <w:r>
              <w:rPr>
                <w:rFonts w:ascii="Liberation Serif" w:hAnsi="Liberation Serif"/>
              </w:rPr>
              <w:t xml:space="preserve">физкультурным мероприятиям, установленного положениями (регламентами) о</w:t>
            </w:r>
            <w:r>
              <w:rPr>
                <w:rFonts w:ascii="Liberation Serif" w:hAnsi="Liberation Serif"/>
              </w:rPr>
              <w:t xml:space="preserve"> таких соревнованиях/ </w:t>
            </w:r>
            <w:r>
              <w:rPr>
                <w:rFonts w:ascii="Liberation Serif" w:hAnsi="Liberation Serif"/>
              </w:rPr>
              <w:t xml:space="preserve">физкультурных мероприятиях, утвержденными их организаторами;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г) наличие решения соответствующей антидопинговой организации о на</w:t>
            </w:r>
            <w:r>
              <w:rPr>
                <w:rFonts w:ascii="Liberation Serif" w:hAnsi="Liberation Serif"/>
              </w:rPr>
              <w:t xml:space="preserve">   </w:t>
            </w:r>
            <w:r>
              <w:rPr>
                <w:rFonts w:ascii="Liberation Serif" w:hAnsi="Liberation Serif"/>
              </w:rPr>
              <w:t xml:space="preserve">   </w:t>
            </w:r>
            <w:r>
              <w:rPr>
                <w:rFonts w:ascii="Liberation Serif" w:hAnsi="Liberation Serif"/>
              </w:rPr>
              <w:t xml:space="preserve">   </w:t>
            </w:r>
            <w:r>
              <w:rPr>
                <w:rFonts w:ascii="Liberation Serif" w:hAnsi="Liberation Serif"/>
              </w:rPr>
              <w:t xml:space="preserve">   </w:t>
            </w:r>
            <w:r>
              <w:rPr>
                <w:rFonts w:ascii="Liberation Serif" w:hAnsi="Liberation Serif"/>
              </w:rPr>
              <w:t xml:space="preserve">рушении спортсменом антидопинговых правил, принятого по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результатам допинг-контроля, проведенного в рамках соревнования на котором спортсмен выполнил норму, требования и условия их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выполнения;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д) выявление недостоверных или неполных сведений в документах для присвоения спортивного разряда;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е) нарушение сроков подачи представления и документов для присвоения спортивного разряда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64 положения о ЕВСК)</w:t>
            </w:r>
            <w:r/>
          </w:p>
        </w:tc>
        <w:tc>
          <w:tcPr>
            <w:gridSpan w:val="3"/>
            <w:tcBorders>
              <w:left w:val="single" w:color="000000" w:themeColor="text1" w:sz="24" w:space="0"/>
            </w:tcBorders>
            <w:tcW w:w="3980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Решение </w:t>
            </w:r>
            <w:r>
              <w:rPr>
                <w:rFonts w:ascii="Liberation Serif" w:hAnsi="Liberation Serif"/>
                <w:b/>
              </w:rPr>
              <w:t xml:space="preserve">о </w:t>
            </w:r>
            <w:r>
              <w:rPr>
                <w:rFonts w:ascii="Liberation Serif" w:hAnsi="Liberation Serif"/>
                <w:b/>
              </w:rPr>
              <w:t xml:space="preserve">подтверждении</w:t>
            </w:r>
            <w:r>
              <w:rPr>
                <w:rFonts w:ascii="Liberation Serif" w:hAnsi="Liberation Serif"/>
                <w:b/>
              </w:rPr>
              <w:t xml:space="preserve"> спортивного разряда</w:t>
            </w:r>
            <w:r>
              <w:rPr>
                <w:rFonts w:ascii="Liberation Serif" w:hAnsi="Liberation Serif"/>
              </w:rPr>
              <w:t xml:space="preserve"> оформляется приказом, который подписывается руководителем Организации</w:t>
            </w:r>
            <w:r>
              <w:rPr>
                <w:rFonts w:ascii="Liberation Serif" w:hAnsi="Liberation Serif"/>
              </w:rPr>
              <w:t xml:space="preserve"> (п. 68 </w:t>
            </w:r>
            <w:r>
              <w:rPr>
                <w:rFonts w:ascii="Liberation Serif" w:hAnsi="Liberation Serif"/>
              </w:rPr>
              <w:t xml:space="preserve">положения о ЕВСК)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1018540</wp:posOffset>
                      </wp:positionH>
                      <wp:positionV relativeFrom="paragraph">
                        <wp:posOffset>31750</wp:posOffset>
                      </wp:positionV>
                      <wp:extent cx="266065" cy="158115"/>
                      <wp:effectExtent l="0" t="0" r="0" b="0"/>
                      <wp:wrapNone/>
                      <wp:docPr id="7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6" o:spid="_x0000_s6" style="position:absolute;z-index:251668480;o:allowoverlap:true;o:allowincell:true;mso-position-horizontal-relative:text;margin-left:80.2pt;mso-position-horizontal:absolute;mso-position-vertical-relative:text;margin-top:2.5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Копия документа о принятом решении в течение 3 рабочих дней со дня его подписания направляется в </w:t>
            </w:r>
            <w:r>
              <w:rPr>
                <w:rFonts w:ascii="Liberation Serif" w:hAnsi="Liberation Serif"/>
              </w:rPr>
              <w:t xml:space="preserve">спортивную федерацию, организацию, осуществляющую деятельность в области ФКиС, или Заявителю  и размещается на официальном сайте Организации в информационно-телекоммуникационной сети «Интернет» (в случае подачи представления и документов в электронной форм</w:t>
            </w:r>
            <w:r>
              <w:rPr>
                <w:rFonts w:ascii="Liberation Serif" w:hAnsi="Liberation Serif"/>
              </w:rPr>
              <w:t xml:space="preserve">е, документ о принятом решении </w:t>
            </w:r>
            <w:r>
              <w:rPr>
                <w:rFonts w:ascii="Liberation Serif" w:hAnsi="Liberation Serif"/>
              </w:rPr>
              <w:t xml:space="preserve">размещается в личном кабинете </w:t>
            </w:r>
            <w:r>
              <w:rPr>
                <w:rFonts w:ascii="Liberation Serif" w:hAnsi="Liberation Serif"/>
              </w:rPr>
              <w:t xml:space="preserve">спортивной</w:t>
            </w:r>
            <w:r>
              <w:rPr>
                <w:rFonts w:ascii="Liberation Serif" w:hAnsi="Liberation Serif"/>
              </w:rPr>
              <w:t xml:space="preserve"> федерации, организации, осуществляющую деятельность в области</w:t>
            </w:r>
            <w:r>
              <w:rPr>
                <w:rFonts w:ascii="Liberation Serif" w:hAnsi="Liberation Serif"/>
              </w:rPr>
              <w:t xml:space="preserve"> ФКиС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в системе, автоматизирующей исполнение государственных функций или предоставление государственных услуг, посредством которой были поданы документы</w:t>
            </w:r>
            <w:r>
              <w:rPr>
                <w:rFonts w:ascii="Liberation Serif" w:hAnsi="Liberation Serif"/>
              </w:rPr>
              <w:t xml:space="preserve">)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1075690</wp:posOffset>
                      </wp:positionH>
                      <wp:positionV relativeFrom="paragraph">
                        <wp:posOffset>12065</wp:posOffset>
                      </wp:positionV>
                      <wp:extent cx="266065" cy="158115"/>
                      <wp:effectExtent l="0" t="0" r="0" b="0"/>
                      <wp:wrapNone/>
                      <wp:docPr id="8" name="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0" name=""/>
                            <wps:cNvSpPr/>
                            <wps:spPr bwMode="auto">
                              <a:xfrm>
                                <a:off x="0" y="0"/>
                                <a:ext cx="266065" cy="158114"/>
                              </a:xfrm>
                              <a:custGeom>
                                <a:avLst>
                                  <a:gd name="adj0" fmla="val 16200"/>
                                  <a:gd name="adj1" fmla="val 5400"/>
                                </a:avLst>
                                <a:gdLst>
                                  <a:gd name="gd0" fmla="val 65536"/>
                                  <a:gd name="gd1" fmla="val adj0"/>
                                  <a:gd name="gd2" fmla="val adj1"/>
                                  <a:gd name="gd3" fmla="+- 21600 0 adj1"/>
                                  <a:gd name="gd4" fmla="+- 10800 0 adj1"/>
                                  <a:gd name="gd5" fmla="+- 21600 0 adj0"/>
                                  <a:gd name="gd6" fmla="*/ gd5 gd4 10800"/>
                                  <a:gd name="gd7" fmla="+- 21600 0 gd6"/>
                                  <a:gd name="gd8" fmla="val 0"/>
                                  <a:gd name="gd9" fmla="val gd1"/>
                                  <a:gd name="gd10" fmla="val gd2"/>
                                  <a:gd name="gd11" fmla="val gd1"/>
                                  <a:gd name="gd12" fmla="val gd2"/>
                                  <a:gd name="gd13" fmla="val 0"/>
                                  <a:gd name="gd14" fmla="val gd3"/>
                                  <a:gd name="gd15" fmla="val 0"/>
                                  <a:gd name="gd16" fmla="val gd3"/>
                                  <a:gd name="gd17" fmla="val gd1"/>
                                  <a:gd name="gd18" fmla="val 21600"/>
                                  <a:gd name="gd19" fmla="val gd1"/>
                                  <a:gd name="gd20" fmla="val 10800"/>
                                  <a:gd name="gd21" fmla="val 21600"/>
                                  <a:gd name="gd22" fmla="*/ w gd2 21600"/>
                                  <a:gd name="gd23" fmla="*/ h 0 21600"/>
                                  <a:gd name="gd24" fmla="*/ w gd3 21600"/>
                                  <a:gd name="gd25" fmla="*/ h gd7 21600"/>
                                  <a:gd name="gd26" fmla="*/ w adj1 21600"/>
                                  <a:gd name="gd27" fmla="*/ h adj0 21600"/>
                                </a:gdLst>
                                <a:ahLst>
                                  <a:ahXY gdRefX="adj1" minX="0" maxX="10800" gdRefY="adj0" minY="0" maxY="21600">
                                    <a:pos x="gd26" y="gd27"/>
                                  </a:ahXY>
                                </a:ahLst>
                                <a:cxnLst/>
                                <a:rect l="gd22" t="gd23" r="gd24" b="gd25"/>
                                <a:pathLst>
                                  <a:path w="21600" h="21600" fill="norm" stroke="1" extrusionOk="0">
                                    <a:moveTo>
                                      <a:pt x="gd8" y="gd9"/>
                                    </a:moveTo>
                                    <a:lnTo>
                                      <a:pt x="gd10" y="gd11"/>
                                    </a:lnTo>
                                    <a:lnTo>
                                      <a:pt x="gd12" y="gd13"/>
                                    </a:lnTo>
                                    <a:lnTo>
                                      <a:pt x="gd14" y="gd15"/>
                                    </a:lnTo>
                                    <a:lnTo>
                                      <a:pt x="gd16" y="gd17"/>
                                    </a:lnTo>
                                    <a:lnTo>
                                      <a:pt x="gd18" y="gd19"/>
                                    </a:lnTo>
                                    <a:lnTo>
                                      <a:pt x="gd20" y="gd21"/>
                                    </a:lnTo>
                                    <a:close/>
                                  </a:path>
                                  <a:path w="21600" h="21600" fill="norm" stroke="1" extrusionOk="0"/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solidFill>
                                  <a:srgbClr val="000000"/>
                                </a:solidFill>
                              </a:ln>
                            </wps:spPr>
                            <wps:bodyPr rot="0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hape 7" o:spid="_x0000_s7" style="position:absolute;z-index:251664384;o:allowoverlap:true;o:allowincell:true;mso-position-horizontal-relative:text;margin-left:84.7pt;mso-position-horizontal:absolute;mso-position-vertical-relative:text;margin-top:0.9pt;mso-position-vertical:absolute;width:20.9pt;height:12.4pt;mso-wrap-distance-left:9.0pt;mso-wrap-distance-top:0.0pt;mso-wrap-distance-right:9.0pt;mso-wrap-distance-bottom:0.0pt;visibility:visible;" path="m0,75000l25000,75000l25000,0l75000,0l75000,75000l100000,75000l50000,100000xee" coordsize="100000,100000" fillcolor="#FFFFFF" strokecolor="#000000">
                      <v:path textboxrect="25000,0,75000,87500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Сведения о подтверждении спортивного разряда заносятся в зачетную классификационную книжку и заверяются печатью и подписью руководителя Организации, присвоившей спортивный разряд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69 положения о ЕВСК)</w:t>
            </w:r>
            <w:r>
              <w:rPr>
                <w:rFonts w:ascii="Liberation Serif" w:hAnsi="Liberation Serif"/>
              </w:rPr>
              <w:t xml:space="preserve">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при подтверждении в соответствии с п. 65/ присвоении в соответствии с п. 71 спортивного разряда</w:t>
            </w:r>
            <w:r>
              <w:rPr>
                <w:rFonts w:ascii="Liberation Serif" w:hAnsi="Liberation Serif"/>
              </w:rPr>
              <w:t xml:space="preserve"> нагрудный значок не выдается (п. 72 положения о ЕВСК)</w:t>
            </w:r>
            <w:r/>
          </w:p>
        </w:tc>
        <w:tc>
          <w:tcPr>
            <w:gridSpan w:val="2"/>
            <w:tcW w:w="3981" w:type="dxa"/>
            <w:textDirection w:val="lrTb"/>
            <w:noWrap w:val="false"/>
          </w:tcPr>
          <w:p>
            <w:pPr>
              <w:jc w:val="center"/>
              <w:rPr>
                <w:rFonts w:ascii="Liberation Serif" w:hAnsi="Liberation Serif"/>
                <w:b/>
              </w:rPr>
            </w:pPr>
            <w:r>
              <w:rPr>
                <w:rFonts w:ascii="Liberation Serif" w:hAnsi="Liberation Serif"/>
                <w:b/>
              </w:rPr>
              <w:t xml:space="preserve">Основания для отказа: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а) несоответствие результата спортсмена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нормам, требованиям и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условиям их выполнения, включенным </w:t>
            </w:r>
            <w:r>
              <w:rPr>
                <w:rFonts w:ascii="Liberation Serif" w:hAnsi="Liberation Serif"/>
              </w:rPr>
              <w:t xml:space="preserve">в ЕВСК;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б) спортивная дисквалификация спортсмена</w:t>
            </w:r>
            <w:r>
              <w:rPr>
                <w:rFonts w:ascii="Liberation Serif" w:hAnsi="Liberation Serif"/>
              </w:rPr>
              <w:t xml:space="preserve">, </w:t>
            </w:r>
            <w:r>
              <w:rPr>
                <w:rFonts w:ascii="Liberation Serif" w:hAnsi="Liberation Serif"/>
              </w:rPr>
              <w:t xml:space="preserve">произошедшая до или в день проведения соревнования, на </w:t>
            </w:r>
            <w:r>
              <w:rPr>
                <w:rFonts w:ascii="Liberation Serif" w:hAnsi="Liberation Serif"/>
              </w:rPr>
              <w:t xml:space="preserve">котором</w:t>
            </w:r>
            <w:r>
              <w:rPr>
                <w:rFonts w:ascii="Liberation Serif" w:hAnsi="Liberation Serif"/>
              </w:rPr>
              <w:t xml:space="preserve"> спортсмен подтвердил</w:t>
            </w:r>
            <w:r>
              <w:rPr>
                <w:rFonts w:ascii="Liberation Serif" w:hAnsi="Liberation Serif"/>
              </w:rPr>
              <w:t xml:space="preserve"> </w:t>
            </w:r>
            <w:r>
              <w:rPr>
                <w:rFonts w:ascii="Liberation Serif" w:hAnsi="Liberation Serif"/>
              </w:rPr>
              <w:t xml:space="preserve">спортивный разряд;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в) нарушение условий допуска к соревнованиям</w:t>
            </w:r>
            <w:r>
              <w:rPr>
                <w:rFonts w:ascii="Liberation Serif" w:hAnsi="Liberation Serif"/>
              </w:rPr>
              <w:t xml:space="preserve">/ </w:t>
            </w:r>
            <w:r>
              <w:rPr>
                <w:rFonts w:ascii="Liberation Serif" w:hAnsi="Liberation Serif"/>
              </w:rPr>
              <w:t xml:space="preserve">физкультурным мероприятиям, установленного положениями (регламентами) о</w:t>
            </w:r>
            <w:r>
              <w:rPr>
                <w:rFonts w:ascii="Liberation Serif" w:hAnsi="Liberation Serif"/>
              </w:rPr>
              <w:t xml:space="preserve"> таких соревнованиях/ </w:t>
            </w:r>
            <w:r>
              <w:rPr>
                <w:rFonts w:ascii="Liberation Serif" w:hAnsi="Liberation Serif"/>
              </w:rPr>
              <w:t xml:space="preserve">физкультурных мероприятиях, утвержденными их организаторами;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г) выявление недостоверных или неполных сведений в документах для присвоения спортивного разряда;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д</w:t>
            </w:r>
            <w:r>
              <w:rPr>
                <w:rFonts w:ascii="Liberation Serif" w:hAnsi="Liberation Serif"/>
              </w:rPr>
              <w:t xml:space="preserve">) нарушение сроков подачи представления и документов для присвоения спортивного разряда</w:t>
            </w:r>
            <w:r/>
          </w:p>
          <w:p>
            <w:pPr>
              <w:jc w:val="center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(п. 70 положения о ЕВСК)</w:t>
            </w:r>
            <w:r/>
          </w:p>
        </w:tc>
      </w:tr>
      <w:tr>
        <w:trPr/>
        <w:tc>
          <w:tcPr>
            <w:gridSpan w:val="9"/>
            <w:tcW w:w="15920" w:type="dxa"/>
            <w:textDirection w:val="lrTb"/>
            <w:noWrap w:val="false"/>
          </w:tcPr>
          <w:p>
            <w:pPr>
              <w:jc w:val="both"/>
              <w:rPr>
                <w:rFonts w:ascii="Liberation Serif" w:hAnsi="Liberation Serif"/>
              </w:rPr>
            </w:pPr>
            <w:r>
              <w:rPr>
                <w:rFonts w:ascii="Liberation Serif" w:hAnsi="Liberation Serif"/>
              </w:rPr>
              <w:t xml:space="preserve">* Организация: О</w:t>
            </w:r>
            <w:r>
              <w:rPr>
                <w:rFonts w:ascii="Liberation Serif" w:hAnsi="Liberation Serif"/>
              </w:rPr>
              <w:t xml:space="preserve">рганы исполнительной власти</w:t>
            </w:r>
            <w:r>
              <w:rPr>
                <w:rFonts w:ascii="Liberation Serif" w:hAnsi="Liberation Serif"/>
              </w:rPr>
              <w:t xml:space="preserve"> (департамент по физической культуре и спорту Ямало-Ненецкого автономного округа)</w:t>
            </w:r>
            <w:r>
              <w:rPr>
                <w:rFonts w:ascii="Liberation Serif" w:hAnsi="Liberation Serif"/>
              </w:rPr>
              <w:t xml:space="preserve">, Органы местного самоуправления</w:t>
            </w:r>
            <w:r>
              <w:rPr>
                <w:rFonts w:ascii="Liberation Serif" w:hAnsi="Liberation Serif"/>
              </w:rPr>
              <w:t xml:space="preserve"> (управление по физической культуре и спорту)</w:t>
            </w:r>
            <w:r>
              <w:rPr>
                <w:rFonts w:ascii="Liberation Serif" w:hAnsi="Liberation Serif"/>
              </w:rPr>
              <w:t xml:space="preserve">, организации, осуществляющие деятельность в области физической</w:t>
            </w:r>
            <w:r>
              <w:rPr>
                <w:rFonts w:ascii="Liberation Serif" w:hAnsi="Liberation Serif"/>
              </w:rPr>
              <w:t xml:space="preserve"> культуры и спорта.</w:t>
            </w:r>
            <w:r/>
          </w:p>
        </w:tc>
      </w:tr>
    </w:tbl>
    <w:p>
      <w:r/>
      <w:r/>
    </w:p>
    <w:sectPr>
      <w:footnotePr/>
      <w:endnotePr/>
      <w:type w:val="nextPage"/>
      <w:pgSz w:w="16838" w:h="11906" w:orient="landscape"/>
      <w:pgMar w:top="567" w:right="567" w:bottom="567" w:left="567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Liberation Serif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598"/>
    <w:next w:val="598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599"/>
    <w:link w:val="12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599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599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599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599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599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599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599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599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599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599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599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599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8">
    <w:name w:val="Table Grid Light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0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7">
    <w:name w:val="List Table 7 Colorful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8">
    <w:name w:val="List Table 7 Colorful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9">
    <w:name w:val="List Table 7 Colorful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0">
    <w:name w:val="List Table 7 Colorful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1">
    <w:name w:val="List Table 7 Colorful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2">
    <w:name w:val="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4">
    <w:name w:val="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5">
    <w:name w:val="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6">
    <w:name w:val="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7">
    <w:name w:val="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8">
    <w:name w:val="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9">
    <w:name w:val="Bordered &amp; Lined - Accent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1">
    <w:name w:val="Bordered &amp; Lined - Accent 2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2">
    <w:name w:val="Bordered &amp; Lined - Accent 3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3">
    <w:name w:val="Bordered &amp; Lined - Accent 4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4">
    <w:name w:val="Bordered &amp; Lined - Accent 5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5">
    <w:name w:val="Bordered &amp; Lined - Accent 6"/>
    <w:basedOn w:val="600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6">
    <w:name w:val="Bordered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0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599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599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</w:style>
  <w:style w:type="character" w:styleId="599" w:default="1">
    <w:name w:val="Default Paragraph Font"/>
    <w:uiPriority w:val="1"/>
    <w:semiHidden/>
    <w:unhideWhenUsed/>
  </w:style>
  <w:style w:type="table" w:styleId="600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1" w:default="1">
    <w:name w:val="No List"/>
    <w:uiPriority w:val="99"/>
    <w:semiHidden/>
    <w:unhideWhenUsed/>
  </w:style>
  <w:style w:type="table" w:styleId="602">
    <w:name w:val="Table Grid"/>
    <w:basedOn w:val="600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CBEC0F-BFC5-46DD-BA27-7B46FB280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CPSM-2</dc:creator>
  <cp:keywords/>
  <dc:description/>
  <cp:revision>11</cp:revision>
  <dcterms:created xsi:type="dcterms:W3CDTF">2023-04-25T06:07:00Z</dcterms:created>
  <dcterms:modified xsi:type="dcterms:W3CDTF">2023-04-26T10:45:31Z</dcterms:modified>
</cp:coreProperties>
</file>